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7C" w:rsidRDefault="00161756">
      <w:pPr>
        <w:pStyle w:val="Standar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  <w:u w:val="single"/>
        </w:rPr>
        <w:t>FEATHERSTONE W.L.C</w:t>
      </w:r>
    </w:p>
    <w:p w:rsidR="00C4017C" w:rsidRDefault="00161756">
      <w:pPr>
        <w:pStyle w:val="Standard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  <w:u w:val="single"/>
        </w:rPr>
        <w:t>DEVELOPMENT MATCH</w:t>
      </w:r>
    </w:p>
    <w:p w:rsidR="00C4017C" w:rsidRDefault="00C4017C">
      <w:pPr>
        <w:pStyle w:val="Standard"/>
        <w:rPr>
          <w:rFonts w:ascii="Arial Black" w:hAnsi="Arial Black"/>
          <w:sz w:val="28"/>
          <w:szCs w:val="28"/>
          <w:u w:val="single"/>
        </w:rPr>
      </w:pPr>
    </w:p>
    <w:p w:rsidR="00C4017C" w:rsidRDefault="00161756">
      <w:pPr>
        <w:pStyle w:val="Standar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On Saturday the 10</w:t>
      </w:r>
      <w:r>
        <w:rPr>
          <w:rFonts w:ascii="Arial Black" w:hAnsi="Arial Black"/>
          <w:sz w:val="28"/>
          <w:szCs w:val="28"/>
          <w:vertAlign w:val="superscript"/>
        </w:rPr>
        <w:t>th</w:t>
      </w:r>
      <w:r>
        <w:rPr>
          <w:rFonts w:ascii="Arial Black" w:hAnsi="Arial Black"/>
          <w:sz w:val="28"/>
          <w:szCs w:val="28"/>
        </w:rPr>
        <w:t xml:space="preserve"> October 2015 Featherstone W.L.C held a very successful match to </w:t>
      </w:r>
      <w:r w:rsidR="00AD4B60">
        <w:rPr>
          <w:rFonts w:ascii="Arial Black" w:hAnsi="Arial Black"/>
          <w:sz w:val="28"/>
          <w:szCs w:val="28"/>
        </w:rPr>
        <w:t>promote the development of their</w:t>
      </w:r>
      <w:r>
        <w:rPr>
          <w:rFonts w:ascii="Arial Black" w:hAnsi="Arial Black"/>
          <w:sz w:val="28"/>
          <w:szCs w:val="28"/>
        </w:rPr>
        <w:t xml:space="preserve"> recent influx of promising young lifters.</w:t>
      </w:r>
    </w:p>
    <w:p w:rsidR="00C4017C" w:rsidRDefault="00C4017C">
      <w:pPr>
        <w:pStyle w:val="Standard"/>
        <w:rPr>
          <w:rFonts w:ascii="Arial Black" w:hAnsi="Arial Black"/>
          <w:sz w:val="28"/>
          <w:szCs w:val="28"/>
        </w:rPr>
      </w:pPr>
    </w:p>
    <w:p w:rsidR="00C4017C" w:rsidRDefault="00161756">
      <w:pPr>
        <w:pStyle w:val="Standar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The event has left the six lifters, five of wh</w:t>
      </w:r>
      <w:r w:rsidR="00AD4B60">
        <w:rPr>
          <w:rFonts w:ascii="Arial Black" w:hAnsi="Arial Black"/>
          <w:sz w:val="28"/>
          <w:szCs w:val="28"/>
        </w:rPr>
        <w:t>ich development stage lifters, a</w:t>
      </w:r>
      <w:r>
        <w:rPr>
          <w:rFonts w:ascii="Arial Black" w:hAnsi="Arial Black"/>
          <w:sz w:val="28"/>
          <w:szCs w:val="28"/>
        </w:rPr>
        <w:t>ll but one lifting in a match for the</w:t>
      </w:r>
      <w:r>
        <w:rPr>
          <w:rFonts w:ascii="Arial Black" w:hAnsi="Arial Black"/>
          <w:sz w:val="28"/>
          <w:szCs w:val="28"/>
        </w:rPr>
        <w:t xml:space="preserve"> first time!</w:t>
      </w:r>
    </w:p>
    <w:p w:rsidR="00C4017C" w:rsidRDefault="00C4017C">
      <w:pPr>
        <w:pStyle w:val="Standard"/>
        <w:rPr>
          <w:rFonts w:ascii="Arial Black" w:hAnsi="Arial Black"/>
          <w:sz w:val="28"/>
          <w:szCs w:val="28"/>
        </w:rPr>
      </w:pPr>
    </w:p>
    <w:p w:rsidR="00C4017C" w:rsidRDefault="00161756">
      <w:pPr>
        <w:pStyle w:val="Standar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Eight year old Olivia Richardson, he</w:t>
      </w:r>
      <w:r w:rsidR="00AD4B60">
        <w:rPr>
          <w:rFonts w:ascii="Arial Black" w:hAnsi="Arial Black"/>
          <w:sz w:val="28"/>
          <w:szCs w:val="28"/>
        </w:rPr>
        <w:t>r nine year old brother Jacob, t</w:t>
      </w:r>
      <w:r>
        <w:rPr>
          <w:rFonts w:ascii="Arial Black" w:hAnsi="Arial Black"/>
          <w:sz w:val="28"/>
          <w:szCs w:val="28"/>
        </w:rPr>
        <w:t>en year old Sydney Burnett and eleven year old Oliv</w:t>
      </w:r>
      <w:r w:rsidR="00AD4B60">
        <w:rPr>
          <w:rFonts w:ascii="Arial Black" w:hAnsi="Arial Black"/>
          <w:sz w:val="28"/>
          <w:szCs w:val="28"/>
        </w:rPr>
        <w:t>ia Walker all lifted alongside two time British c</w:t>
      </w:r>
      <w:r>
        <w:rPr>
          <w:rFonts w:ascii="Arial Black" w:hAnsi="Arial Black"/>
          <w:sz w:val="28"/>
          <w:szCs w:val="28"/>
        </w:rPr>
        <w:t>hampion Kobain Riley and each lifter showed improved technique and attitud</w:t>
      </w:r>
      <w:r>
        <w:rPr>
          <w:rFonts w:ascii="Arial Black" w:hAnsi="Arial Black"/>
          <w:sz w:val="28"/>
          <w:szCs w:val="28"/>
        </w:rPr>
        <w:t>e as they all produced promising totals.</w:t>
      </w:r>
    </w:p>
    <w:p w:rsidR="00C4017C" w:rsidRDefault="00C4017C">
      <w:pPr>
        <w:pStyle w:val="Standard"/>
        <w:rPr>
          <w:rFonts w:ascii="Arial Black" w:hAnsi="Arial Black"/>
          <w:sz w:val="28"/>
          <w:szCs w:val="28"/>
        </w:rPr>
      </w:pPr>
    </w:p>
    <w:p w:rsidR="00C4017C" w:rsidRDefault="00AD4B60">
      <w:pPr>
        <w:pStyle w:val="Standar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Beth Healey, f</w:t>
      </w:r>
      <w:r w:rsidR="00161756">
        <w:rPr>
          <w:rFonts w:ascii="Arial Black" w:hAnsi="Arial Black"/>
          <w:sz w:val="28"/>
          <w:szCs w:val="28"/>
        </w:rPr>
        <w:t>ifteen,  is very dedicated to her training and</w:t>
      </w:r>
      <w:r>
        <w:rPr>
          <w:rFonts w:ascii="Arial Black" w:hAnsi="Arial Black"/>
          <w:sz w:val="28"/>
          <w:szCs w:val="28"/>
        </w:rPr>
        <w:t xml:space="preserve"> it is showing as she produces promising results on her snatch and clean and j</w:t>
      </w:r>
      <w:r w:rsidR="00161756">
        <w:rPr>
          <w:rFonts w:ascii="Arial Black" w:hAnsi="Arial Black"/>
          <w:sz w:val="28"/>
          <w:szCs w:val="28"/>
        </w:rPr>
        <w:t>erk as she looks to have good potential going forwards.</w:t>
      </w:r>
    </w:p>
    <w:p w:rsidR="00C4017C" w:rsidRDefault="00C4017C">
      <w:pPr>
        <w:pStyle w:val="Standard"/>
        <w:rPr>
          <w:rFonts w:ascii="Arial Black" w:hAnsi="Arial Black"/>
          <w:sz w:val="28"/>
          <w:szCs w:val="28"/>
        </w:rPr>
      </w:pPr>
    </w:p>
    <w:p w:rsidR="00C4017C" w:rsidRDefault="00161756">
      <w:pPr>
        <w:pStyle w:val="Standar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Thanks to Allan Wh</w:t>
      </w:r>
      <w:r>
        <w:rPr>
          <w:rFonts w:ascii="Arial Black" w:hAnsi="Arial Black"/>
          <w:sz w:val="28"/>
          <w:szCs w:val="28"/>
        </w:rPr>
        <w:t>itworth who coaches Beth and Martyn Riley coaching t</w:t>
      </w:r>
      <w:r w:rsidR="00AD4B60">
        <w:rPr>
          <w:rFonts w:ascii="Arial Black" w:hAnsi="Arial Black"/>
          <w:sz w:val="28"/>
          <w:szCs w:val="28"/>
        </w:rPr>
        <w:t>he development lifters. Thanks t</w:t>
      </w:r>
      <w:r>
        <w:rPr>
          <w:rFonts w:ascii="Arial Black" w:hAnsi="Arial Black"/>
          <w:sz w:val="28"/>
          <w:szCs w:val="28"/>
        </w:rPr>
        <w:t>o club members Paul Foster, Mark Wager, Simo</w:t>
      </w:r>
      <w:r w:rsidR="00AD4B60">
        <w:rPr>
          <w:rFonts w:ascii="Arial Black" w:hAnsi="Arial Black"/>
          <w:sz w:val="28"/>
          <w:szCs w:val="28"/>
        </w:rPr>
        <w:t>n Walker and Nick Hall for their</w:t>
      </w:r>
      <w:r>
        <w:rPr>
          <w:rFonts w:ascii="Arial Black" w:hAnsi="Arial Black"/>
          <w:sz w:val="28"/>
          <w:szCs w:val="28"/>
        </w:rPr>
        <w:t xml:space="preserve"> help before and during the event. Also thanks to Paul Sheen and Wakefield W.L.C for their suppo</w:t>
      </w:r>
      <w:r>
        <w:rPr>
          <w:rFonts w:ascii="Arial Black" w:hAnsi="Arial Black"/>
          <w:sz w:val="28"/>
          <w:szCs w:val="28"/>
        </w:rPr>
        <w:t>rt and equipment loan for match.</w:t>
      </w:r>
    </w:p>
    <w:p w:rsidR="00C4017C" w:rsidRDefault="00C4017C">
      <w:pPr>
        <w:pStyle w:val="Standard"/>
        <w:rPr>
          <w:rFonts w:ascii="Arial Black" w:hAnsi="Arial Black"/>
          <w:sz w:val="28"/>
          <w:szCs w:val="28"/>
        </w:rPr>
      </w:pPr>
    </w:p>
    <w:p w:rsidR="00C4017C" w:rsidRDefault="00161756">
      <w:pPr>
        <w:pStyle w:val="Standar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The Results are on the table below but the most pleasing part of the event is each lifter was very ne</w:t>
      </w:r>
      <w:r w:rsidR="00AD4B60">
        <w:rPr>
          <w:rFonts w:ascii="Arial Black" w:hAnsi="Arial Black"/>
          <w:sz w:val="28"/>
          <w:szCs w:val="28"/>
        </w:rPr>
        <w:t>rvous before and each lifter per</w:t>
      </w:r>
      <w:r>
        <w:rPr>
          <w:rFonts w:ascii="Arial Black" w:hAnsi="Arial Black"/>
          <w:sz w:val="28"/>
          <w:szCs w:val="28"/>
        </w:rPr>
        <w:t>formed and applied themselves so well that they will be looking forward to the Northern S</w:t>
      </w:r>
      <w:r>
        <w:rPr>
          <w:rFonts w:ascii="Arial Black" w:hAnsi="Arial Black"/>
          <w:sz w:val="28"/>
          <w:szCs w:val="28"/>
        </w:rPr>
        <w:t>chools in Cheshire in November and the British School and Youth championships next year been held local for them in Castleford.</w:t>
      </w:r>
    </w:p>
    <w:p w:rsidR="004A459E" w:rsidRDefault="004A459E">
      <w:pPr>
        <w:pStyle w:val="Standard"/>
        <w:rPr>
          <w:rFonts w:ascii="Arial Black" w:hAnsi="Arial Black"/>
          <w:sz w:val="28"/>
          <w:szCs w:val="28"/>
        </w:rPr>
      </w:pPr>
    </w:p>
    <w:p w:rsidR="004A459E" w:rsidRDefault="004A459E">
      <w:pPr>
        <w:pStyle w:val="Standar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Report by Martyn Riley, Featherstone WLC</w:t>
      </w:r>
      <w:bookmarkStart w:id="0" w:name="_GoBack"/>
      <w:bookmarkEnd w:id="0"/>
    </w:p>
    <w:p w:rsidR="00C4017C" w:rsidRDefault="00C4017C">
      <w:pPr>
        <w:pStyle w:val="Standard"/>
        <w:rPr>
          <w:rFonts w:ascii="Arial Black" w:hAnsi="Arial Black"/>
          <w:sz w:val="28"/>
          <w:szCs w:val="28"/>
        </w:rPr>
      </w:pPr>
    </w:p>
    <w:p w:rsidR="00C4017C" w:rsidRDefault="00C4017C">
      <w:pPr>
        <w:pStyle w:val="Standard"/>
        <w:rPr>
          <w:rFonts w:ascii="Arial Black" w:hAnsi="Arial Black"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5"/>
        <w:gridCol w:w="930"/>
        <w:gridCol w:w="930"/>
        <w:gridCol w:w="1682"/>
        <w:gridCol w:w="2563"/>
        <w:gridCol w:w="1575"/>
      </w:tblGrid>
      <w:tr w:rsidR="00C4017C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Name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Age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BDWT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SNATCH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CLEAN AND JERK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TOTAL</w:t>
            </w:r>
          </w:p>
        </w:tc>
      </w:tr>
      <w:tr w:rsidR="00C4017C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Olivia Richardson</w:t>
            </w:r>
          </w:p>
          <w:p w:rsidR="00C4017C" w:rsidRDefault="00C4017C">
            <w:pPr>
              <w:pStyle w:val="TableContents"/>
              <w:rPr>
                <w:rFonts w:ascii="Arial Black" w:hAnsi="Arial Black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40.5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 (3)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 (2)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 (2)</w:t>
            </w:r>
          </w:p>
        </w:tc>
        <w:tc>
          <w:tcPr>
            <w:tcW w:w="2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 (2,3)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13 (2,3)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15 (2,2)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73 (21)</w:t>
            </w:r>
          </w:p>
        </w:tc>
      </w:tr>
      <w:tr w:rsidR="00C4017C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Jacob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Richardson</w:t>
            </w:r>
          </w:p>
          <w:p w:rsidR="00C4017C" w:rsidRDefault="00C4017C">
            <w:pPr>
              <w:pStyle w:val="TableContents"/>
              <w:rPr>
                <w:rFonts w:ascii="Arial Black" w:hAnsi="Arial Black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52.2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 (1)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 (1)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 (1)</w:t>
            </w:r>
          </w:p>
        </w:tc>
        <w:tc>
          <w:tcPr>
            <w:tcW w:w="2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13 (1,2)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15 (1,2)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17 (1,2)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74 (12)</w:t>
            </w:r>
          </w:p>
        </w:tc>
      </w:tr>
      <w:tr w:rsidR="00C4017C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Sydney Burnett</w:t>
            </w:r>
          </w:p>
          <w:p w:rsidR="00C4017C" w:rsidRDefault="00C4017C">
            <w:pPr>
              <w:pStyle w:val="TableContents"/>
              <w:rPr>
                <w:rFonts w:ascii="Arial Black" w:hAnsi="Arial Black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28.9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 (2)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 (2)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 (2)</w:t>
            </w:r>
          </w:p>
        </w:tc>
        <w:tc>
          <w:tcPr>
            <w:tcW w:w="2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 (2,3)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 (2,2)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 (2,2)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53 (19)</w:t>
            </w:r>
          </w:p>
        </w:tc>
      </w:tr>
      <w:tr w:rsidR="00C4017C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Kobain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Riley</w:t>
            </w:r>
          </w:p>
          <w:p w:rsidR="00C4017C" w:rsidRDefault="00C4017C">
            <w:pPr>
              <w:pStyle w:val="TableContents"/>
              <w:rPr>
                <w:rFonts w:ascii="Arial Black" w:hAnsi="Arial Black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56.5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 (2)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 (2)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 (2)</w:t>
            </w:r>
          </w:p>
        </w:tc>
        <w:tc>
          <w:tcPr>
            <w:tcW w:w="2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15 (2,3)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17 (2,3)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 (2,2)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88 (20)</w:t>
            </w:r>
          </w:p>
        </w:tc>
      </w:tr>
      <w:tr w:rsidR="00C4017C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Olivia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Walker</w:t>
            </w:r>
          </w:p>
          <w:p w:rsidR="00C4017C" w:rsidRDefault="00C4017C">
            <w:pPr>
              <w:pStyle w:val="TableContents"/>
              <w:rPr>
                <w:rFonts w:ascii="Arial Black" w:hAnsi="Arial Black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58.4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 (3)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 (2)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 (2)</w:t>
            </w:r>
          </w:p>
        </w:tc>
        <w:tc>
          <w:tcPr>
            <w:tcW w:w="2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15 (2,3)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17 (2,3)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 (2,3)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88 (27)</w:t>
            </w:r>
          </w:p>
        </w:tc>
      </w:tr>
      <w:tr w:rsidR="00C4017C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Beth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Healey</w:t>
            </w:r>
          </w:p>
          <w:p w:rsidR="00C4017C" w:rsidRDefault="00C4017C">
            <w:pPr>
              <w:pStyle w:val="TableContents"/>
              <w:rPr>
                <w:rFonts w:ascii="Arial Black" w:hAnsi="Arial Black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94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40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43x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43</w:t>
            </w:r>
          </w:p>
        </w:tc>
        <w:tc>
          <w:tcPr>
            <w:tcW w:w="2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55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60</w:t>
            </w:r>
          </w:p>
          <w:p w:rsidR="00C4017C" w:rsidRDefault="00161756">
            <w:pPr>
              <w:pStyle w:val="TableContents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65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17C" w:rsidRDefault="00161756">
            <w:pPr>
              <w:pStyle w:val="TableContents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108</w:t>
            </w:r>
          </w:p>
        </w:tc>
      </w:tr>
    </w:tbl>
    <w:p w:rsidR="00C4017C" w:rsidRDefault="00C4017C">
      <w:pPr>
        <w:pStyle w:val="Standard"/>
        <w:rPr>
          <w:rFonts w:ascii="Arial Black" w:hAnsi="Arial Black"/>
          <w:sz w:val="28"/>
          <w:szCs w:val="28"/>
        </w:rPr>
      </w:pPr>
    </w:p>
    <w:sectPr w:rsidR="00C401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56" w:rsidRDefault="00161756">
      <w:r>
        <w:separator/>
      </w:r>
    </w:p>
  </w:endnote>
  <w:endnote w:type="continuationSeparator" w:id="0">
    <w:p w:rsidR="00161756" w:rsidRDefault="0016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56" w:rsidRDefault="00161756">
      <w:r>
        <w:rPr>
          <w:color w:val="000000"/>
        </w:rPr>
        <w:separator/>
      </w:r>
    </w:p>
  </w:footnote>
  <w:footnote w:type="continuationSeparator" w:id="0">
    <w:p w:rsidR="00161756" w:rsidRDefault="0016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4017C"/>
    <w:rsid w:val="00161756"/>
    <w:rsid w:val="004A459E"/>
    <w:rsid w:val="00AD4B60"/>
    <w:rsid w:val="00C4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DA0CB8-F197-447D-ABF7-51CC042C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Rowlinson</dc:creator>
  <cp:lastModifiedBy>Jo Mcmanus</cp:lastModifiedBy>
  <cp:revision>3</cp:revision>
  <dcterms:created xsi:type="dcterms:W3CDTF">2015-10-12T13:48:00Z</dcterms:created>
  <dcterms:modified xsi:type="dcterms:W3CDTF">2015-10-12T13:49:00Z</dcterms:modified>
</cp:coreProperties>
</file>